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B7F" w:rsidRDefault="00F75D02" w:rsidP="00F75D02">
      <w:pPr>
        <w:jc w:val="center"/>
        <w:rPr>
          <w:b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68791CD6" wp14:editId="09542AEB">
            <wp:simplePos x="0" y="0"/>
            <wp:positionH relativeFrom="column">
              <wp:posOffset>4620476</wp:posOffset>
            </wp:positionH>
            <wp:positionV relativeFrom="paragraph">
              <wp:posOffset>4041691</wp:posOffset>
            </wp:positionV>
            <wp:extent cx="4166558" cy="2449902"/>
            <wp:effectExtent l="0" t="0" r="5715" b="7620"/>
            <wp:wrapNone/>
            <wp:docPr id="1" name="Gráfico 1">
              <a:extLst xmlns:a="http://schemas.openxmlformats.org/drawingml/2006/main">
                <a:ext uri="{FF2B5EF4-FFF2-40B4-BE49-F238E27FC236}">
                  <a16:creationId xmlns:xdr="http://schemas.openxmlformats.org/drawingml/2006/spreadsheetDrawing" xmlns:a16="http://schemas.microsoft.com/office/drawing/2014/main" xmlns="" xmlns:lc="http://schemas.openxmlformats.org/drawingml/2006/lockedCanvas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D02">
        <w:rPr>
          <w:b/>
        </w:rPr>
        <w:t>ANEXO I – ANALISE DE RISCO</w:t>
      </w:r>
    </w:p>
    <w:tbl>
      <w:tblPr>
        <w:tblW w:w="1498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7"/>
        <w:gridCol w:w="463"/>
        <w:gridCol w:w="2000"/>
        <w:gridCol w:w="215"/>
        <w:gridCol w:w="1074"/>
        <w:gridCol w:w="711"/>
        <w:gridCol w:w="1349"/>
        <w:gridCol w:w="959"/>
        <w:gridCol w:w="3062"/>
        <w:gridCol w:w="3434"/>
      </w:tblGrid>
      <w:tr w:rsidR="00F75D02" w:rsidRPr="00F75D02" w:rsidTr="00F75D02">
        <w:trPr>
          <w:trHeight w:val="480"/>
        </w:trPr>
        <w:tc>
          <w:tcPr>
            <w:tcW w:w="14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Processo nº 091/2024</w:t>
            </w:r>
          </w:p>
        </w:tc>
      </w:tr>
      <w:tr w:rsidR="00F75D02" w:rsidRPr="00F75D02" w:rsidTr="00F75D02">
        <w:trPr>
          <w:trHeight w:val="975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 DE VERIFICAÇÃO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RISCOS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PROBABILIDADES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CONSEQUÊNCIAS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NÍVEL DE RISCO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AÇÕES SUGERIDAS/PREVENTIVAS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AÇÕES DE CONTINGÊNCIA/CORRETIVAS</w:t>
            </w:r>
          </w:p>
        </w:tc>
      </w:tr>
      <w:tr w:rsidR="00F75D02" w:rsidRPr="00F75D02" w:rsidTr="00F75D02">
        <w:trPr>
          <w:trHeight w:val="593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Impugnação do Edital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Rara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Pouco relevante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Baixo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Melhoria na especificação dos produtos e aperfeiçoamento do instrumento convocatório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Republicação do instrumento convocatório, caso procedente a impugnação.</w:t>
            </w:r>
          </w:p>
        </w:tc>
      </w:tr>
      <w:tr w:rsidR="00F75D02" w:rsidRPr="00F75D02" w:rsidTr="00F75D02">
        <w:trPr>
          <w:trHeight w:val="633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Licitação Fracassada ou Deserta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Rara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Relevante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Médio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Ampliação da pesquisa mercadológica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Realizar novo certame</w:t>
            </w:r>
          </w:p>
        </w:tc>
      </w:tr>
      <w:tr w:rsidR="00F75D02" w:rsidRPr="00F75D02" w:rsidTr="00F75D02">
        <w:trPr>
          <w:trHeight w:val="593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Atraso na entrega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Eventual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Relevante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Extremo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 xml:space="preserve">Reforçar por escrito quanto ao prazo de entrega definido 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 xml:space="preserve"> Aplicar as penalidades previstas no edital</w:t>
            </w:r>
          </w:p>
        </w:tc>
      </w:tr>
      <w:tr w:rsidR="00F75D02" w:rsidRPr="00F75D02" w:rsidTr="00F75D02">
        <w:trPr>
          <w:trHeight w:val="813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Inexecução total ou parcial do contrato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Rara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Relevante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Médio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Aplicar as penalidades previstas e as multas previstas no edital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Sancionar ou declarar a inidoneidade do fornecedor</w:t>
            </w:r>
          </w:p>
        </w:tc>
      </w:tr>
      <w:tr w:rsidR="00F75D02" w:rsidRPr="00F75D02" w:rsidTr="00F75D02">
        <w:trPr>
          <w:trHeight w:val="609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t-BR"/>
              </w:rPr>
              <w:t>5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Escassez de materiais disponíveis no mercado para execução do contrato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Raríssima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Muito relevante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Médio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Verificar antecipadamente a disponibilidade dos materiais no mercado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 xml:space="preserve"> Aplicar as penalidades previstas no edital</w:t>
            </w:r>
          </w:p>
        </w:tc>
      </w:tr>
      <w:tr w:rsidR="00F75D02" w:rsidRPr="00F75D02" w:rsidTr="00F75D02">
        <w:trPr>
          <w:trHeight w:val="593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t-BR"/>
              </w:rPr>
              <w:t>6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Toners, cartuchos com vazamentos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Raríssima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 xml:space="preserve">Relevante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Baixo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>Recusa do recebimento do objeto do contrato até a correção dos padrões exigidos.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</w:pPr>
            <w:r w:rsidRPr="00F75D02">
              <w:rPr>
                <w:rFonts w:ascii="Times New Roman" w:eastAsia="Times New Roman" w:hAnsi="Times New Roman" w:cs="Times New Roman"/>
                <w:color w:val="000000"/>
                <w:szCs w:val="24"/>
                <w:lang w:eastAsia="pt-BR"/>
              </w:rPr>
              <w:t xml:space="preserve"> Aplicar as penalidades previstas no edital</w:t>
            </w:r>
          </w:p>
        </w:tc>
      </w:tr>
      <w:tr w:rsidR="00F75D02" w:rsidRPr="00F75D02" w:rsidTr="00F75D02">
        <w:trPr>
          <w:gridAfter w:val="4"/>
          <w:wAfter w:w="8804" w:type="dxa"/>
          <w:trHeight w:val="398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  <w:t>NÍVEL DE RISCO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  <w:t>NÚMERO DE RISCOS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  <w:t>PERCENTUAL</w:t>
            </w:r>
          </w:p>
        </w:tc>
      </w:tr>
      <w:tr w:rsidR="00F75D02" w:rsidRPr="00F75D02" w:rsidTr="00F75D02">
        <w:trPr>
          <w:gridAfter w:val="4"/>
          <w:wAfter w:w="8804" w:type="dxa"/>
          <w:trHeight w:val="39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  <w:t>Insignificante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0%</w:t>
            </w:r>
          </w:p>
        </w:tc>
      </w:tr>
      <w:tr w:rsidR="00F75D02" w:rsidRPr="00F75D02" w:rsidTr="00F75D02">
        <w:trPr>
          <w:gridAfter w:val="4"/>
          <w:wAfter w:w="8804" w:type="dxa"/>
          <w:trHeight w:val="39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  <w:t>Baixo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33%</w:t>
            </w:r>
          </w:p>
        </w:tc>
      </w:tr>
      <w:tr w:rsidR="00F75D02" w:rsidRPr="00F75D02" w:rsidTr="00F75D02">
        <w:trPr>
          <w:gridAfter w:val="4"/>
          <w:wAfter w:w="8804" w:type="dxa"/>
          <w:trHeight w:val="39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  <w:t>Médio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50%</w:t>
            </w:r>
          </w:p>
        </w:tc>
      </w:tr>
      <w:tr w:rsidR="00F75D02" w:rsidRPr="00F75D02" w:rsidTr="00F75D02">
        <w:trPr>
          <w:gridAfter w:val="4"/>
          <w:wAfter w:w="8804" w:type="dxa"/>
          <w:trHeight w:val="39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  <w:t>Alto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0%</w:t>
            </w:r>
          </w:p>
        </w:tc>
      </w:tr>
      <w:tr w:rsidR="00F75D02" w:rsidRPr="00F75D02" w:rsidTr="00F75D02">
        <w:trPr>
          <w:gridAfter w:val="4"/>
          <w:wAfter w:w="8804" w:type="dxa"/>
          <w:trHeight w:val="398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eastAsia="pt-BR"/>
              </w:rPr>
              <w:t>Extremo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17%</w:t>
            </w:r>
          </w:p>
        </w:tc>
      </w:tr>
      <w:tr w:rsidR="00F75D02" w:rsidRPr="00F75D02" w:rsidTr="00F75D02">
        <w:trPr>
          <w:gridAfter w:val="4"/>
          <w:wAfter w:w="8804" w:type="dxa"/>
          <w:trHeight w:val="300"/>
        </w:trPr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b/>
                <w:bCs/>
                <w:sz w:val="20"/>
                <w:lang w:eastAsia="pt-BR"/>
              </w:rPr>
              <w:t>TOTAL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6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D02" w:rsidRPr="00F75D02" w:rsidRDefault="00F75D02" w:rsidP="00F75D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F75D0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100%</w:t>
            </w:r>
          </w:p>
        </w:tc>
      </w:tr>
    </w:tbl>
    <w:p w:rsidR="00F75D02" w:rsidRPr="00F75D02" w:rsidRDefault="00F75D02" w:rsidP="00F75D02">
      <w:pPr>
        <w:rPr>
          <w:b/>
        </w:rPr>
      </w:pPr>
      <w:bookmarkStart w:id="0" w:name="_GoBack"/>
      <w:bookmarkEnd w:id="0"/>
    </w:p>
    <w:sectPr w:rsidR="00F75D02" w:rsidRPr="00F75D02" w:rsidSect="00F75D02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02"/>
    <w:rsid w:val="001E7B7F"/>
    <w:rsid w:val="00F116EF"/>
    <w:rsid w:val="00F7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4595B-688E-431A-92AF-BAC682B5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.112\semas\2024\PROCESSO%20NOVA%20LEI\AN&#193;LISE%20DE%20RISCO\An&#225;lise%20de%20riscos%2005-2024%20-%20PROC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DISTRIBUIÇÃO DE RISCOS</a:t>
            </a:r>
          </a:p>
        </c:rich>
      </c:tx>
      <c:layout/>
      <c:overlay val="0"/>
    </c:title>
    <c:autoTitleDeleted val="0"/>
    <c:view3D>
      <c:rotX val="7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'[Análise de riscos 05-2024 - PROC.xlsx]Gráfico Comparativo'!$B$1</c:f>
              <c:strCache>
                <c:ptCount val="1"/>
                <c:pt idx="0">
                  <c:v>NÚMERO DE RISCOS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E03-49F7-BF0D-DBC9D7490A7D}"/>
              </c:ext>
            </c:extLst>
          </c:dPt>
          <c:dPt>
            <c:idx val="1"/>
            <c:bubble3D val="0"/>
            <c:spPr>
              <a:solidFill>
                <a:srgbClr val="92D050"/>
              </a:solidFill>
              <a:ln>
                <a:solidFill>
                  <a:sysClr val="windowText" lastClr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E03-49F7-BF0D-DBC9D7490A7D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ysClr val="windowText" lastClr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E03-49F7-BF0D-DBC9D7490A7D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>
                <a:solidFill>
                  <a:sysClr val="windowText" lastClr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E03-49F7-BF0D-DBC9D7490A7D}"/>
              </c:ext>
            </c:extLst>
          </c:dPt>
          <c:dPt>
            <c:idx val="4"/>
            <c:bubble3D val="0"/>
            <c:spPr>
              <a:solidFill>
                <a:srgbClr val="FF0000"/>
              </a:solidFill>
              <a:ln>
                <a:solidFill>
                  <a:sysClr val="windowText" lastClr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E03-49F7-BF0D-DBC9D7490A7D}"/>
              </c:ext>
            </c:extLst>
          </c:dPt>
          <c:dLbls>
            <c:dLbl>
              <c:idx val="0"/>
              <c:layout>
                <c:manualLayout>
                  <c:x val="-2.5292432195975503E-2"/>
                  <c:y val="7.43566054243219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E03-49F7-BF0D-DBC9D7490A7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9491032370953632E-2"/>
                  <c:y val="5.86953630796150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E03-49F7-BF0D-DBC9D7490A7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2159011373578301E-2"/>
                  <c:y val="-0.217556255468066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E03-49F7-BF0D-DBC9D7490A7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7.9252405949256338E-2"/>
                  <c:y val="6.8695363079615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E03-49F7-BF0D-DBC9D7490A7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'[Análise de riscos 05-2024 - PROC.xlsx]Gráfico Comparativo'!$A$2:$A$6,'[Análise de riscos 05-2024 - PROC.xlsx]Gráfico Comparativo'!$C$2:$C$6</c:f>
              <c:strCache>
                <c:ptCount val="10"/>
                <c:pt idx="0">
                  <c:v>Insignificante</c:v>
                </c:pt>
                <c:pt idx="1">
                  <c:v>Baixo</c:v>
                </c:pt>
                <c:pt idx="2">
                  <c:v>Médio</c:v>
                </c:pt>
                <c:pt idx="3">
                  <c:v>Alto</c:v>
                </c:pt>
                <c:pt idx="4">
                  <c:v>Extremo</c:v>
                </c:pt>
                <c:pt idx="5">
                  <c:v>0%</c:v>
                </c:pt>
                <c:pt idx="6">
                  <c:v>33%</c:v>
                </c:pt>
                <c:pt idx="7">
                  <c:v>50%</c:v>
                </c:pt>
                <c:pt idx="8">
                  <c:v>0%</c:v>
                </c:pt>
                <c:pt idx="9">
                  <c:v>17%</c:v>
                </c:pt>
              </c:strCache>
            </c:strRef>
          </c:cat>
          <c:val>
            <c:numRef>
              <c:f>'[Análise de riscos 05-2024 - PROC.xlsx]Gráfico Comparativo'!$B$2:$B$6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3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EE03-49F7-BF0D-DBC9D7490A7D}"/>
            </c:ext>
          </c:extLst>
        </c:ser>
        <c:ser>
          <c:idx val="1"/>
          <c:order val="1"/>
          <c:tx>
            <c:strRef>
              <c:f>'[Análise de riscos 05-2024 - PROC.xlsx]Gráfico Comparativo'!$C$1</c:f>
              <c:strCache>
                <c:ptCount val="1"/>
                <c:pt idx="0">
                  <c:v>PERCENTUAL</c:v>
                </c:pt>
              </c:strCache>
            </c:strRef>
          </c:tx>
          <c:cat>
            <c:strRef>
              <c:f>'[Análise de riscos 05-2024 - PROC.xlsx]Gráfico Comparativo'!$A$2:$A$6,'[Análise de riscos 05-2024 - PROC.xlsx]Gráfico Comparativo'!$C$2:$C$6</c:f>
              <c:strCache>
                <c:ptCount val="10"/>
                <c:pt idx="0">
                  <c:v>Insignificante</c:v>
                </c:pt>
                <c:pt idx="1">
                  <c:v>Baixo</c:v>
                </c:pt>
                <c:pt idx="2">
                  <c:v>Médio</c:v>
                </c:pt>
                <c:pt idx="3">
                  <c:v>Alto</c:v>
                </c:pt>
                <c:pt idx="4">
                  <c:v>Extremo</c:v>
                </c:pt>
                <c:pt idx="5">
                  <c:v>0%</c:v>
                </c:pt>
                <c:pt idx="6">
                  <c:v>33%</c:v>
                </c:pt>
                <c:pt idx="7">
                  <c:v>50%</c:v>
                </c:pt>
                <c:pt idx="8">
                  <c:v>0%</c:v>
                </c:pt>
                <c:pt idx="9">
                  <c:v>17%</c:v>
                </c:pt>
              </c:strCache>
            </c:strRef>
          </c:cat>
          <c:val>
            <c:numRef>
              <c:f>'[Análise de riscos 05-2024 - PROC.xlsx]Gráfico Comparativo'!$C$2:$C$6</c:f>
              <c:numCache>
                <c:formatCode>0%</c:formatCode>
                <c:ptCount val="5"/>
                <c:pt idx="0">
                  <c:v>0</c:v>
                </c:pt>
                <c:pt idx="1">
                  <c:v>0.33333333333333331</c:v>
                </c:pt>
                <c:pt idx="2">
                  <c:v>0.5</c:v>
                </c:pt>
                <c:pt idx="3">
                  <c:v>0</c:v>
                </c:pt>
                <c:pt idx="4">
                  <c:v>0.16666666666666666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EE03-49F7-BF0D-DBC9D7490A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ln>
      <a:solidFill>
        <a:sysClr val="windowText" lastClr="000000"/>
      </a:soli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Skul</dc:creator>
  <cp:keywords/>
  <dc:description/>
  <cp:lastModifiedBy>Skul</cp:lastModifiedBy>
  <cp:revision>1</cp:revision>
  <cp:lastPrinted>2024-03-19T15:43:00Z</cp:lastPrinted>
  <dcterms:created xsi:type="dcterms:W3CDTF">2024-03-19T15:37:00Z</dcterms:created>
  <dcterms:modified xsi:type="dcterms:W3CDTF">2024-03-19T15:58:00Z</dcterms:modified>
</cp:coreProperties>
</file>